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1" w:rsidRDefault="000E4B41">
      <w:pPr>
        <w:rPr>
          <w:noProof/>
        </w:rPr>
      </w:pPr>
    </w:p>
    <w:p w:rsidR="009A7B5F" w:rsidRDefault="000E4B41">
      <w:r>
        <w:rPr>
          <w:noProof/>
        </w:rPr>
        <w:drawing>
          <wp:inline distT="0" distB="0" distL="0" distR="0">
            <wp:extent cx="2971075" cy="4333875"/>
            <wp:effectExtent l="0" t="0" r="1270" b="0"/>
            <wp:docPr id="1" name="Picture 1" descr="Brian-Du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-Dus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1" cy="43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1" w:rsidRPr="000E4B41" w:rsidRDefault="000E4B41" w:rsidP="000E4B41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780000"/>
          <w:kern w:val="36"/>
          <w:sz w:val="30"/>
          <w:szCs w:val="30"/>
        </w:rPr>
      </w:pPr>
      <w:r w:rsidRPr="000E4B41">
        <w:rPr>
          <w:rFonts w:ascii="Trebuchet MS" w:eastAsia="Times New Roman" w:hAnsi="Trebuchet MS" w:cs="Times New Roman"/>
          <w:color w:val="780000"/>
          <w:kern w:val="36"/>
          <w:sz w:val="30"/>
          <w:szCs w:val="30"/>
        </w:rPr>
        <w:t xml:space="preserve">Brian J. </w:t>
      </w:r>
      <w:proofErr w:type="spellStart"/>
      <w:r w:rsidRPr="000E4B41">
        <w:rPr>
          <w:rFonts w:ascii="Trebuchet MS" w:eastAsia="Times New Roman" w:hAnsi="Trebuchet MS" w:cs="Times New Roman"/>
          <w:color w:val="780000"/>
          <w:kern w:val="36"/>
          <w:sz w:val="30"/>
          <w:szCs w:val="30"/>
        </w:rPr>
        <w:t>Dusek</w:t>
      </w:r>
      <w:proofErr w:type="spellEnd"/>
    </w:p>
    <w:p w:rsidR="000E4B41" w:rsidRPr="000E4B41" w:rsidRDefault="000E4B41" w:rsidP="000E4B41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i/>
          <w:iCs/>
          <w:color w:val="780000"/>
          <w:sz w:val="21"/>
          <w:szCs w:val="21"/>
        </w:rPr>
      </w:pPr>
      <w:r w:rsidRPr="000E4B41">
        <w:rPr>
          <w:rFonts w:ascii="Trebuchet MS" w:eastAsia="Times New Roman" w:hAnsi="Trebuchet MS" w:cs="Times New Roman"/>
          <w:i/>
          <w:iCs/>
          <w:color w:val="780000"/>
          <w:sz w:val="21"/>
          <w:szCs w:val="21"/>
        </w:rPr>
        <w:t>Partner</w:t>
      </w:r>
    </w:p>
    <w:p w:rsidR="000E4B41" w:rsidRDefault="000E4B41"/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r>
        <w:rPr>
          <w:rFonts w:ascii="Trebuchet MS" w:hAnsi="Trebuchet MS"/>
          <w:color w:val="121212"/>
          <w:sz w:val="20"/>
          <w:szCs w:val="20"/>
        </w:rPr>
        <w:t xml:space="preserve">Brian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Dusek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 concentrates his practice on the representation of domestic and international insurers in complex insurance coverage claims, particularly those relating to professional liability.  Mr.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Dusek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 advises insurers on coverage issues, consults with insurers on policy wording, </w:t>
      </w:r>
      <w:proofErr w:type="gramStart"/>
      <w:r>
        <w:rPr>
          <w:rFonts w:ascii="Trebuchet MS" w:hAnsi="Trebuchet MS"/>
          <w:color w:val="121212"/>
          <w:sz w:val="20"/>
          <w:szCs w:val="20"/>
        </w:rPr>
        <w:t>provides</w:t>
      </w:r>
      <w:proofErr w:type="gramEnd"/>
      <w:r>
        <w:rPr>
          <w:rFonts w:ascii="Trebuchet MS" w:hAnsi="Trebuchet MS"/>
          <w:color w:val="121212"/>
          <w:sz w:val="20"/>
          <w:szCs w:val="20"/>
        </w:rPr>
        <w:t xml:space="preserve"> risk analysis and management advice, and represents insurers in coverage litigation.  Mr.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Dusek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 is a frequent speaker on professional liability, technology, and cyber liability issues.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r>
        <w:rPr>
          <w:rFonts w:ascii="Trebuchet MS" w:hAnsi="Trebuchet MS"/>
          <w:color w:val="121212"/>
          <w:sz w:val="20"/>
          <w:szCs w:val="20"/>
        </w:rPr>
        <w:t xml:space="preserve">Much of Mr.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Dusek’s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 practice focuses on providing monitoring counsel services to insurers worldwide in connection with claims arising under lawyers’ professional liability, insurance brokers’ professional liability,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cyberliability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/data protection, healthcare liability, and other coverages.  Mr. </w:t>
      </w:r>
      <w:proofErr w:type="spellStart"/>
      <w:r>
        <w:rPr>
          <w:rFonts w:ascii="Trebuchet MS" w:hAnsi="Trebuchet MS"/>
          <w:color w:val="121212"/>
          <w:sz w:val="20"/>
          <w:szCs w:val="20"/>
        </w:rPr>
        <w:t>Dusek</w:t>
      </w:r>
      <w:proofErr w:type="spellEnd"/>
      <w:r>
        <w:rPr>
          <w:rFonts w:ascii="Trebuchet MS" w:hAnsi="Trebuchet MS"/>
          <w:color w:val="121212"/>
          <w:sz w:val="20"/>
          <w:szCs w:val="20"/>
        </w:rPr>
        <w:t xml:space="preserve"> works with insureds and their insurers to develop and implement resolution strategies.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bookmarkStart w:id="0" w:name="_GoBack"/>
      <w:bookmarkEnd w:id="0"/>
    </w:p>
    <w:p w:rsidR="000E4B41" w:rsidRP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color w:val="121212"/>
          <w:sz w:val="20"/>
          <w:szCs w:val="20"/>
        </w:rPr>
      </w:pPr>
      <w:r w:rsidRPr="000E4B41">
        <w:rPr>
          <w:rFonts w:ascii="Trebuchet MS" w:hAnsi="Trebuchet MS"/>
          <w:b/>
          <w:color w:val="121212"/>
          <w:sz w:val="20"/>
          <w:szCs w:val="20"/>
        </w:rPr>
        <w:t>Education: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r>
        <w:rPr>
          <w:rFonts w:ascii="Trebuchet MS" w:hAnsi="Trebuchet MS"/>
          <w:color w:val="121212"/>
          <w:sz w:val="20"/>
          <w:szCs w:val="20"/>
        </w:rPr>
        <w:t>University of Minnesota, B.A., 1994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r>
        <w:rPr>
          <w:rFonts w:ascii="Trebuchet MS" w:hAnsi="Trebuchet MS"/>
          <w:color w:val="121212"/>
          <w:sz w:val="20"/>
          <w:szCs w:val="20"/>
        </w:rPr>
        <w:t>DePaul University College of Law, J.D., 1998 (Article and Note Editor,</w:t>
      </w:r>
      <w:r>
        <w:rPr>
          <w:rStyle w:val="apple-converted-space"/>
          <w:rFonts w:ascii="Trebuchet MS" w:hAnsi="Trebuchet MS"/>
          <w:color w:val="121212"/>
          <w:sz w:val="20"/>
          <w:szCs w:val="20"/>
        </w:rPr>
        <w:t> </w:t>
      </w:r>
      <w:r>
        <w:rPr>
          <w:rStyle w:val="Emphasis"/>
          <w:rFonts w:ascii="Trebuchet MS" w:hAnsi="Trebuchet MS"/>
          <w:color w:val="121212"/>
          <w:sz w:val="20"/>
          <w:szCs w:val="20"/>
          <w:bdr w:val="none" w:sz="0" w:space="0" w:color="auto" w:frame="1"/>
        </w:rPr>
        <w:t>DePaul Business Law Journal)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</w:p>
    <w:p w:rsidR="000E4B41" w:rsidRP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color w:val="121212"/>
          <w:sz w:val="20"/>
          <w:szCs w:val="20"/>
        </w:rPr>
      </w:pPr>
      <w:r w:rsidRPr="000E4B41">
        <w:rPr>
          <w:rFonts w:ascii="Trebuchet MS" w:hAnsi="Trebuchet MS"/>
          <w:b/>
          <w:color w:val="121212"/>
          <w:sz w:val="20"/>
          <w:szCs w:val="20"/>
        </w:rPr>
        <w:t>Memberships:</w:t>
      </w:r>
    </w:p>
    <w:p w:rsidR="000E4B41" w:rsidRDefault="000E4B41" w:rsidP="000E4B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21212"/>
          <w:sz w:val="20"/>
          <w:szCs w:val="20"/>
        </w:rPr>
      </w:pPr>
      <w:r>
        <w:rPr>
          <w:rFonts w:ascii="Trebuchet MS" w:hAnsi="Trebuchet MS"/>
          <w:color w:val="121212"/>
          <w:sz w:val="20"/>
          <w:szCs w:val="20"/>
          <w:shd w:val="clear" w:color="auto" w:fill="FFFFFF"/>
        </w:rPr>
        <w:t>Professional Liability Underwriting Society (PLUS); Association of Lloyd’s Brokers; Claims Litigation Management Alliance</w:t>
      </w:r>
    </w:p>
    <w:p w:rsidR="000E4B41" w:rsidRDefault="000E4B41"/>
    <w:sectPr w:rsidR="000E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1"/>
    <w:rsid w:val="000E4B41"/>
    <w:rsid w:val="009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4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4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4B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4B41"/>
  </w:style>
  <w:style w:type="character" w:styleId="Emphasis">
    <w:name w:val="Emphasis"/>
    <w:basedOn w:val="DefaultParagraphFont"/>
    <w:uiPriority w:val="20"/>
    <w:qFormat/>
    <w:rsid w:val="000E4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4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4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4B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4B41"/>
  </w:style>
  <w:style w:type="character" w:styleId="Emphasis">
    <w:name w:val="Emphasis"/>
    <w:basedOn w:val="DefaultParagraphFont"/>
    <w:uiPriority w:val="20"/>
    <w:qFormat/>
    <w:rsid w:val="000E4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Mezyk, Jason</dc:creator>
  <cp:lastModifiedBy>Mezyk, Jason</cp:lastModifiedBy>
  <cp:revision>1</cp:revision>
  <dcterms:created xsi:type="dcterms:W3CDTF">2017-05-03T18:40:00Z</dcterms:created>
  <dcterms:modified xsi:type="dcterms:W3CDTF">2017-05-03T18:42:00Z</dcterms:modified>
</cp:coreProperties>
</file>